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3AF6" w:rsidRDefault="00477B62">
      <w:pPr>
        <w:spacing w:line="276" w:lineRule="auto"/>
      </w:pPr>
      <w:r>
        <w:rPr>
          <w:noProof/>
          <w:lang w:eastAsia="en-GB"/>
        </w:rPr>
        <mc:AlternateContent>
          <mc:Choice Requires="wps">
            <w:drawing>
              <wp:anchor distT="0" distB="0" distL="114300" distR="114300" simplePos="0" relativeHeight="251658240" behindDoc="0" locked="0" layoutInCell="1" allowOverlap="1" wp14:anchorId="323B1687" wp14:editId="1FDBFA16">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4BC" w:rsidRDefault="005734BC" w:rsidP="00ED692D">
                            <w:pPr>
                              <w:pStyle w:val="Title"/>
                            </w:pPr>
                            <w:r>
                              <w:t>Supply Base Report Template for Biomass Producers</w:t>
                            </w:r>
                            <w:r w:rsidR="00F42646">
                              <w:t>: Annex 1</w:t>
                            </w:r>
                          </w:p>
                          <w:p w:rsidR="005734BC" w:rsidRDefault="005734BC" w:rsidP="00ED692D">
                            <w:pPr>
                              <w:pStyle w:val="Title"/>
                              <w:rPr>
                                <w:color w:val="8AB059"/>
                                <w:sz w:val="36"/>
                                <w:szCs w:val="36"/>
                              </w:rPr>
                            </w:pPr>
                          </w:p>
                          <w:p w:rsidR="00EB5937" w:rsidRDefault="00EB5937" w:rsidP="00B012AF"/>
                          <w:p w:rsidR="00EB5937" w:rsidRDefault="00EB5937" w:rsidP="00B012AF"/>
                          <w:p w:rsidR="00EB5937" w:rsidRDefault="00EB5937" w:rsidP="00B012AF"/>
                          <w:p w:rsidR="00EB5937" w:rsidRDefault="00EB5937" w:rsidP="00B012AF"/>
                          <w:p w:rsidR="00EB5937" w:rsidRPr="00B012AF" w:rsidRDefault="00EB5937" w:rsidP="00B012AF">
                            <w:pPr>
                              <w:rPr>
                                <w:color w:val="3D946D"/>
                              </w:rPr>
                            </w:pPr>
                            <w:r w:rsidRPr="00B012AF">
                              <w:rPr>
                                <w:color w:val="3D946D"/>
                              </w:rPr>
                              <w:t>www.sustainablebiomasspartnership.org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B1687"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QrQIAAKo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" filled="f" stroked="f">
                <v:textbox inset="0,0,0,0">
                  <w:txbxContent>
                    <w:p w:rsidR="005734BC" w:rsidRDefault="005734BC" w:rsidP="00ED692D">
                      <w:pPr>
                        <w:pStyle w:val="Title"/>
                      </w:pPr>
                      <w:r>
                        <w:t>Supply Base Report Template for Biomass Producers</w:t>
                      </w:r>
                      <w:r w:rsidR="00F42646">
                        <w:t>: Annex 1</w:t>
                      </w:r>
                    </w:p>
                    <w:p w:rsidR="005734BC" w:rsidRDefault="005734BC" w:rsidP="00ED692D">
                      <w:pPr>
                        <w:pStyle w:val="Title"/>
                        <w:rPr>
                          <w:color w:val="8AB059"/>
                          <w:sz w:val="36"/>
                          <w:szCs w:val="36"/>
                        </w:rPr>
                      </w:pPr>
                    </w:p>
                    <w:p w:rsidR="00EB5937" w:rsidRDefault="00EB5937" w:rsidP="00B012AF"/>
                    <w:p w:rsidR="00EB5937" w:rsidRDefault="00EB5937" w:rsidP="00B012AF"/>
                    <w:p w:rsidR="00EB5937" w:rsidRDefault="00EB5937" w:rsidP="00B012AF"/>
                    <w:p w:rsidR="00EB5937" w:rsidRDefault="00EB5937" w:rsidP="00B012AF"/>
                    <w:p w:rsidR="00EB5937" w:rsidRPr="00B012AF" w:rsidRDefault="00EB5937" w:rsidP="00B012AF">
                      <w:pPr>
                        <w:rPr>
                          <w:color w:val="3D946D"/>
                        </w:rPr>
                      </w:pPr>
                      <w:r w:rsidRPr="00B012AF">
                        <w:rPr>
                          <w:color w:val="3D946D"/>
                        </w:rPr>
                        <w:t>www.sustainablebiomasspartnership.org</w:t>
                      </w:r>
                    </w:p>
                  </w:txbxContent>
                </v:textbox>
                <w10:wrap anchorx="margin" anchory="page"/>
              </v:shape>
            </w:pict>
          </mc:Fallback>
        </mc:AlternateContent>
      </w:r>
      <w:r w:rsidR="00836D4B">
        <w:br w:type="page"/>
      </w:r>
      <w:r w:rsidR="003A3AF6">
        <w:rPr>
          <w:noProof/>
          <w:lang w:eastAsia="en-GB"/>
        </w:rPr>
        <w:lastRenderedPageBreak/>
        <mc:AlternateContent>
          <mc:Choice Requires="wps">
            <w:drawing>
              <wp:anchor distT="0" distB="0" distL="114300" distR="114300" simplePos="0" relativeHeight="251660288" behindDoc="0" locked="0" layoutInCell="1" allowOverlap="1" wp14:anchorId="67853F5C" wp14:editId="7DDC87FB">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F6" w:rsidRPr="00CC1E24" w:rsidRDefault="003A3AF6" w:rsidP="003A3AF6">
                            <w:pPr>
                              <w:pStyle w:val="Title"/>
                              <w:rPr>
                                <w:sz w:val="40"/>
                                <w:szCs w:val="40"/>
                              </w:rPr>
                            </w:pPr>
                            <w:r w:rsidRPr="00CC1E24">
                              <w:rPr>
                                <w:sz w:val="40"/>
                                <w:szCs w:val="40"/>
                              </w:rPr>
                              <w:t>Version 1.0</w:t>
                            </w:r>
                          </w:p>
                          <w:p w:rsidR="003A3AF6" w:rsidRDefault="003A3AF6" w:rsidP="003A3AF6">
                            <w:pPr>
                              <w:pStyle w:val="Title"/>
                              <w:rPr>
                                <w:sz w:val="40"/>
                                <w:szCs w:val="40"/>
                              </w:rPr>
                            </w:pPr>
                            <w:r>
                              <w:rPr>
                                <w:sz w:val="40"/>
                                <w:szCs w:val="40"/>
                              </w:rPr>
                              <w:t xml:space="preserve">March </w:t>
                            </w:r>
                            <w:r w:rsidRPr="00CC1E24">
                              <w:rPr>
                                <w:sz w:val="40"/>
                                <w:szCs w:val="40"/>
                              </w:rPr>
                              <w:t>201</w:t>
                            </w:r>
                            <w:r>
                              <w:rPr>
                                <w:sz w:val="40"/>
                                <w:szCs w:val="40"/>
                              </w:rPr>
                              <w:t>5</w:t>
                            </w:r>
                          </w:p>
                          <w:p w:rsidR="003A3AF6" w:rsidRDefault="003A3AF6" w:rsidP="003A3AF6"/>
                          <w:p w:rsidR="003A3AF6" w:rsidRDefault="003A3AF6" w:rsidP="003A3AF6"/>
                          <w:p w:rsidR="003A3AF6" w:rsidRDefault="003A3AF6" w:rsidP="003A3AF6">
                            <w:pPr>
                              <w:rPr>
                                <w:i/>
                              </w:rPr>
                            </w:pPr>
                          </w:p>
                          <w:p w:rsidR="003A3AF6" w:rsidRDefault="003A3AF6" w:rsidP="003A3AF6">
                            <w:pPr>
                              <w:rPr>
                                <w:i/>
                              </w:rPr>
                            </w:pPr>
                            <w:r>
                              <w:rPr>
                                <w:i/>
                              </w:rPr>
                              <w:t xml:space="preserve">For further information on the SBP Framework and to view the full set of documentation see </w:t>
                            </w:r>
                            <w:hyperlink r:id="rId8" w:history="1">
                              <w:r w:rsidR="00B012AF" w:rsidRPr="002D471E">
                                <w:rPr>
                                  <w:rStyle w:val="Hyperlink"/>
                                  <w:i/>
                                </w:rPr>
                                <w:t>www.sustainablebiomasspartnership.org</w:t>
                              </w:r>
                            </w:hyperlink>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r>
                              <w:rPr>
                                <w:i/>
                              </w:rPr>
                              <w:t>Document history</w:t>
                            </w:r>
                          </w:p>
                          <w:p w:rsidR="003A3AF6" w:rsidRDefault="003A3AF6" w:rsidP="003A3AF6">
                            <w:pPr>
                              <w:rPr>
                                <w:i/>
                              </w:rPr>
                            </w:pPr>
                            <w:r w:rsidRPr="001B53A6">
                              <w:rPr>
                                <w:i/>
                              </w:rPr>
                              <w:t>Version 1.0: published 26 March 2015</w:t>
                            </w:r>
                          </w:p>
                          <w:p w:rsidR="003A3AF6" w:rsidRPr="001B53A6" w:rsidRDefault="003A3AF6" w:rsidP="003A3AF6">
                            <w:pPr>
                              <w:rPr>
                                <w:i/>
                              </w:rPr>
                            </w:pPr>
                          </w:p>
                          <w:p w:rsidR="003A3AF6" w:rsidRPr="001B53A6" w:rsidRDefault="003A3AF6" w:rsidP="003A3AF6">
                            <w:pPr>
                              <w:rPr>
                                <w:i/>
                              </w:rPr>
                            </w:pPr>
                            <w:r w:rsidRPr="001B53A6">
                              <w:rPr>
                                <w:rFonts w:cstheme="minorHAnsi"/>
                                <w:i/>
                              </w:rPr>
                              <w:t>©</w:t>
                            </w:r>
                            <w:r w:rsidRPr="00B012AF">
                              <w:rPr>
                                <w:i/>
                              </w:rPr>
                              <w:t xml:space="preserve"> Copyright </w:t>
                            </w:r>
                            <w:proofErr w:type="gramStart"/>
                            <w:r w:rsidRPr="00B012AF">
                              <w:rPr>
                                <w:i/>
                              </w:rPr>
                              <w:t>The</w:t>
                            </w:r>
                            <w:proofErr w:type="gramEnd"/>
                            <w:r w:rsidRPr="00B012AF">
                              <w:rPr>
                                <w:i/>
                              </w:rPr>
                              <w:t xml:space="preserve"> Sustainable Biomass Partnership L</w:t>
                            </w:r>
                            <w:r>
                              <w:rPr>
                                <w:i/>
                              </w:rPr>
                              <w:t>imi</w:t>
                            </w:r>
                            <w:r w:rsidRPr="00B012AF">
                              <w:rPr>
                                <w:i/>
                              </w:rPr>
                              <w:t>t</w:t>
                            </w:r>
                            <w:r>
                              <w:rPr>
                                <w:i/>
                              </w:rPr>
                              <w:t>e</w:t>
                            </w:r>
                            <w:r w:rsidRPr="00B012AF">
                              <w:rPr>
                                <w:i/>
                              </w:rPr>
                              <w:t>d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3F5C"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" filled="f" stroked="f">
                <v:textbox inset="0,0,0,0">
                  <w:txbxContent>
                    <w:p w:rsidR="003A3AF6" w:rsidRPr="00CC1E24" w:rsidRDefault="003A3AF6" w:rsidP="003A3AF6">
                      <w:pPr>
                        <w:pStyle w:val="Title"/>
                        <w:rPr>
                          <w:sz w:val="40"/>
                          <w:szCs w:val="40"/>
                        </w:rPr>
                      </w:pPr>
                      <w:r w:rsidRPr="00CC1E24">
                        <w:rPr>
                          <w:sz w:val="40"/>
                          <w:szCs w:val="40"/>
                        </w:rPr>
                        <w:t>Version 1.0</w:t>
                      </w:r>
                    </w:p>
                    <w:p w:rsidR="003A3AF6" w:rsidRDefault="003A3AF6" w:rsidP="003A3AF6">
                      <w:pPr>
                        <w:pStyle w:val="Title"/>
                        <w:rPr>
                          <w:sz w:val="40"/>
                          <w:szCs w:val="40"/>
                        </w:rPr>
                      </w:pPr>
                      <w:r>
                        <w:rPr>
                          <w:sz w:val="40"/>
                          <w:szCs w:val="40"/>
                        </w:rPr>
                        <w:t xml:space="preserve">March </w:t>
                      </w:r>
                      <w:r w:rsidRPr="00CC1E24">
                        <w:rPr>
                          <w:sz w:val="40"/>
                          <w:szCs w:val="40"/>
                        </w:rPr>
                        <w:t>201</w:t>
                      </w:r>
                      <w:r>
                        <w:rPr>
                          <w:sz w:val="40"/>
                          <w:szCs w:val="40"/>
                        </w:rPr>
                        <w:t>5</w:t>
                      </w:r>
                    </w:p>
                    <w:p w:rsidR="003A3AF6" w:rsidRDefault="003A3AF6" w:rsidP="003A3AF6"/>
                    <w:p w:rsidR="003A3AF6" w:rsidRDefault="003A3AF6" w:rsidP="003A3AF6"/>
                    <w:p w:rsidR="003A3AF6" w:rsidRDefault="003A3AF6" w:rsidP="003A3AF6">
                      <w:pPr>
                        <w:rPr>
                          <w:i/>
                        </w:rPr>
                      </w:pPr>
                    </w:p>
                    <w:p w:rsidR="003A3AF6" w:rsidRDefault="003A3AF6" w:rsidP="003A3AF6">
                      <w:pPr>
                        <w:rPr>
                          <w:i/>
                        </w:rPr>
                      </w:pPr>
                      <w:r>
                        <w:rPr>
                          <w:i/>
                        </w:rPr>
                        <w:t xml:space="preserve">For further information on the SBP Framework and to view the full set of documentation see </w:t>
                      </w:r>
                      <w:hyperlink r:id="rId9" w:history="1">
                        <w:r w:rsidR="00B012AF" w:rsidRPr="002D471E">
                          <w:rPr>
                            <w:rStyle w:val="Hyperlink"/>
                            <w:i/>
                          </w:rPr>
                          <w:t>www.sustainablebiomasspartnership.org</w:t>
                        </w:r>
                      </w:hyperlink>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p>
                    <w:p w:rsidR="003A3AF6" w:rsidRDefault="003A3AF6" w:rsidP="003A3AF6">
                      <w:pPr>
                        <w:rPr>
                          <w:i/>
                        </w:rPr>
                      </w:pPr>
                      <w:r>
                        <w:rPr>
                          <w:i/>
                        </w:rPr>
                        <w:t>Document history</w:t>
                      </w:r>
                    </w:p>
                    <w:p w:rsidR="003A3AF6" w:rsidRDefault="003A3AF6" w:rsidP="003A3AF6">
                      <w:pPr>
                        <w:rPr>
                          <w:i/>
                        </w:rPr>
                      </w:pPr>
                      <w:r w:rsidRPr="001B53A6">
                        <w:rPr>
                          <w:i/>
                        </w:rPr>
                        <w:t>Version 1.0: published 26 March 2015</w:t>
                      </w:r>
                    </w:p>
                    <w:p w:rsidR="003A3AF6" w:rsidRPr="001B53A6" w:rsidRDefault="003A3AF6" w:rsidP="003A3AF6">
                      <w:pPr>
                        <w:rPr>
                          <w:i/>
                        </w:rPr>
                      </w:pPr>
                    </w:p>
                    <w:p w:rsidR="003A3AF6" w:rsidRPr="001B53A6" w:rsidRDefault="003A3AF6" w:rsidP="003A3AF6">
                      <w:pPr>
                        <w:rPr>
                          <w:i/>
                        </w:rPr>
                      </w:pPr>
                      <w:r w:rsidRPr="001B53A6">
                        <w:rPr>
                          <w:rFonts w:cstheme="minorHAnsi"/>
                          <w:i/>
                        </w:rPr>
                        <w:t>©</w:t>
                      </w:r>
                      <w:r w:rsidRPr="00B012AF">
                        <w:rPr>
                          <w:i/>
                        </w:rPr>
                        <w:t xml:space="preserve"> Copyright </w:t>
                      </w:r>
                      <w:proofErr w:type="gramStart"/>
                      <w:r w:rsidRPr="00B012AF">
                        <w:rPr>
                          <w:i/>
                        </w:rPr>
                        <w:t>The</w:t>
                      </w:r>
                      <w:proofErr w:type="gramEnd"/>
                      <w:r w:rsidRPr="00B012AF">
                        <w:rPr>
                          <w:i/>
                        </w:rPr>
                        <w:t xml:space="preserve"> Sustainable Biomass Partnership L</w:t>
                      </w:r>
                      <w:r>
                        <w:rPr>
                          <w:i/>
                        </w:rPr>
                        <w:t>imi</w:t>
                      </w:r>
                      <w:r w:rsidRPr="00B012AF">
                        <w:rPr>
                          <w:i/>
                        </w:rPr>
                        <w:t>t</w:t>
                      </w:r>
                      <w:r>
                        <w:rPr>
                          <w:i/>
                        </w:rPr>
                        <w:t>e</w:t>
                      </w:r>
                      <w:r w:rsidRPr="00B012AF">
                        <w:rPr>
                          <w:i/>
                        </w:rPr>
                        <w:t>d 2015</w:t>
                      </w:r>
                    </w:p>
                  </w:txbxContent>
                </v:textbox>
                <w10:wrap anchorx="page" anchory="page"/>
              </v:shape>
            </w:pict>
          </mc:Fallback>
        </mc:AlternateContent>
      </w:r>
      <w:r w:rsidR="003A3AF6">
        <w:br w:type="page"/>
      </w:r>
    </w:p>
    <w:p w:rsidR="00B94D3B" w:rsidRDefault="00B94D3B" w:rsidP="00F5639C">
      <w:pPr>
        <w:pStyle w:val="TOC2"/>
        <w:sectPr w:rsidR="00B94D3B"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rsidR="00F42646" w:rsidRDefault="00F42646" w:rsidP="00F42646">
      <w:pPr>
        <w:pStyle w:val="Title"/>
      </w:pPr>
      <w:r>
        <w:lastRenderedPageBreak/>
        <w:t>Annex 1:</w:t>
      </w:r>
    </w:p>
    <w:p w:rsidR="00F42646" w:rsidRDefault="00F42646" w:rsidP="00F42646">
      <w:pPr>
        <w:pStyle w:val="Title"/>
      </w:pPr>
      <w:r>
        <w:t>Detailed Findings for Supply Base Evaluation Indicators</w:t>
      </w:r>
    </w:p>
    <w:p w:rsidR="00F42646" w:rsidRDefault="00F42646" w:rsidP="00F42646"/>
    <w:p w:rsidR="00F42646" w:rsidRDefault="00F42646" w:rsidP="00F42646">
      <w:pPr>
        <w:spacing w:line="276" w:lineRule="auto"/>
      </w:pPr>
      <w:r>
        <w:br w:type="page"/>
      </w:r>
    </w:p>
    <w:p w:rsidR="00F42646" w:rsidRPr="002F18F4" w:rsidRDefault="00F42646" w:rsidP="00F42646">
      <w:pPr>
        <w:pStyle w:val="SAHeading"/>
        <w:rPr>
          <w:rFonts w:ascii="Calibri" w:hAnsi="Calibri"/>
          <w:lang w:val="en-US"/>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sidRPr="00207AA0">
              <w:rPr>
                <w:b/>
              </w:rPr>
              <w:t>1.1.1</w:t>
            </w:r>
          </w:p>
        </w:tc>
        <w:tc>
          <w:tcPr>
            <w:tcW w:w="8208" w:type="dxa"/>
            <w:shd w:val="clear" w:color="auto" w:fill="A3CAB8" w:themeFill="accent3" w:themeFillTint="99"/>
            <w:vAlign w:val="center"/>
          </w:tcPr>
          <w:p w:rsidR="00F42646" w:rsidRDefault="00F42646" w:rsidP="009216D1">
            <w:pPr>
              <w:tabs>
                <w:tab w:val="left" w:pos="372"/>
              </w:tabs>
              <w:ind w:left="702" w:hanging="702"/>
            </w:pPr>
            <w:r>
              <w:rPr>
                <w:szCs w:val="18"/>
              </w:rPr>
              <w:t xml:space="preserve">The Biomass Producer’s Supply Base </w:t>
            </w:r>
            <w:r w:rsidRPr="00F71F15">
              <w:rPr>
                <w:szCs w:val="18"/>
              </w:rPr>
              <w:t>is defined and mapped.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ind w:left="702" w:hanging="702"/>
            </w:pPr>
            <w:r>
              <w:t>[Include the Locally Adapted Verifiers]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ind w:left="702" w:hanging="702"/>
            </w:pPr>
            <w:r>
              <w:t>[Reference to the actual evidence reviewed, e.g. specific maps or documents.]</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B012AF">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tcPr>
          <w:p w:rsidR="00F42646" w:rsidRDefault="00F42646" w:rsidP="00B012AF">
            <w:pPr>
              <w:rPr>
                <w:b/>
              </w:rPr>
            </w:pPr>
            <w:r>
              <w:t>[Optional comment on the indicator in the context of the SB or a brief description of mitigation measures implemented and actual/planned monitoring of their effectiveness.]</w:t>
            </w:r>
          </w:p>
        </w:tc>
      </w:tr>
    </w:tbl>
    <w:p w:rsidR="00F42646" w:rsidRPr="002F18F4" w:rsidRDefault="00F42646" w:rsidP="00F42646">
      <w:pPr>
        <w:pStyle w:val="SAHeading"/>
        <w:rPr>
          <w:rFonts w:ascii="Calibri" w:hAnsi="Calibri"/>
          <w:lang w:val="en-US"/>
        </w:rPr>
      </w:pPr>
    </w:p>
    <w:p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1.1.2</w:t>
            </w:r>
          </w:p>
        </w:tc>
        <w:tc>
          <w:tcPr>
            <w:tcW w:w="8208" w:type="dxa"/>
            <w:shd w:val="clear" w:color="auto" w:fill="A3CAB8" w:themeFill="accent3" w:themeFillTint="99"/>
            <w:vAlign w:val="center"/>
          </w:tcPr>
          <w:p w:rsidR="00F42646" w:rsidRDefault="00F42646" w:rsidP="009216D1">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 w:rsidR="00F42646" w:rsidRDefault="00F42646" w:rsidP="00F42646">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1.1.3</w:t>
            </w:r>
          </w:p>
        </w:tc>
        <w:tc>
          <w:tcPr>
            <w:tcW w:w="8208" w:type="dxa"/>
            <w:shd w:val="clear" w:color="auto" w:fill="A3CAB8" w:themeFill="accent3" w:themeFillTint="99"/>
            <w:vAlign w:val="center"/>
          </w:tcPr>
          <w:p w:rsidR="00F42646" w:rsidRDefault="00F42646" w:rsidP="009216D1">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1.2.1</w:t>
            </w:r>
          </w:p>
        </w:tc>
        <w:tc>
          <w:tcPr>
            <w:tcW w:w="8208" w:type="dxa"/>
            <w:shd w:val="clear" w:color="auto" w:fill="A3CAB8" w:themeFill="accent3" w:themeFillTint="99"/>
            <w:vAlign w:val="center"/>
          </w:tcPr>
          <w:p w:rsidR="00F42646" w:rsidRDefault="00F42646" w:rsidP="009216D1">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jc w:val="center"/>
              <w:rPr>
                <w:b/>
              </w:rPr>
            </w:pPr>
          </w:p>
        </w:tc>
      </w:tr>
    </w:tbl>
    <w:p w:rsidR="00F42646" w:rsidRDefault="00F42646" w:rsidP="00F42646"/>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1.3.1</w:t>
            </w:r>
          </w:p>
        </w:tc>
        <w:tc>
          <w:tcPr>
            <w:tcW w:w="8208" w:type="dxa"/>
            <w:shd w:val="clear" w:color="auto" w:fill="A3CAB8" w:themeFill="accent3" w:themeFillTint="99"/>
            <w:vAlign w:val="center"/>
          </w:tcPr>
          <w:p w:rsidR="00F42646" w:rsidRDefault="00F42646" w:rsidP="009216D1">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is </w:t>
            </w:r>
            <w:r w:rsidRPr="00056ED0">
              <w:rPr>
                <w:rFonts w:cs="Arial"/>
                <w:szCs w:val="18"/>
                <w:lang w:eastAsia="en-GB"/>
              </w:rPr>
              <w:t>in compliance with EUTR legality requirements.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1.4.1</w:t>
            </w:r>
          </w:p>
        </w:tc>
        <w:tc>
          <w:tcPr>
            <w:tcW w:w="8208" w:type="dxa"/>
            <w:shd w:val="clear" w:color="auto" w:fill="A3CAB8" w:themeFill="accent3" w:themeFillTint="99"/>
            <w:vAlign w:val="center"/>
          </w:tcPr>
          <w:p w:rsidR="00F42646" w:rsidRDefault="00F42646" w:rsidP="009216D1">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1.5.1</w:t>
            </w:r>
          </w:p>
        </w:tc>
        <w:tc>
          <w:tcPr>
            <w:tcW w:w="8208" w:type="dxa"/>
            <w:shd w:val="clear" w:color="auto" w:fill="A3CAB8" w:themeFill="accent3" w:themeFillTint="99"/>
            <w:vAlign w:val="center"/>
          </w:tcPr>
          <w:p w:rsidR="00F42646" w:rsidRDefault="00F42646" w:rsidP="009216D1">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1.6.1</w:t>
            </w:r>
          </w:p>
        </w:tc>
        <w:tc>
          <w:tcPr>
            <w:tcW w:w="8208" w:type="dxa"/>
            <w:shd w:val="clear" w:color="auto" w:fill="A3CAB8" w:themeFill="accent3" w:themeFillTint="99"/>
            <w:vAlign w:val="center"/>
          </w:tcPr>
          <w:p w:rsidR="00F42646" w:rsidRDefault="00F42646" w:rsidP="009216D1">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2.1.1</w:t>
            </w:r>
          </w:p>
        </w:tc>
        <w:tc>
          <w:tcPr>
            <w:tcW w:w="8208" w:type="dxa"/>
            <w:shd w:val="clear" w:color="auto" w:fill="A3CAB8" w:themeFill="accent3" w:themeFillTint="99"/>
            <w:vAlign w:val="center"/>
          </w:tcPr>
          <w:p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spacing w:line="240" w:lineRule="auto"/>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2.1.2</w:t>
            </w:r>
          </w:p>
        </w:tc>
        <w:tc>
          <w:tcPr>
            <w:tcW w:w="8208" w:type="dxa"/>
            <w:shd w:val="clear" w:color="auto" w:fill="A3CAB8" w:themeFill="accent3" w:themeFillTint="99"/>
            <w:vAlign w:val="center"/>
          </w:tcPr>
          <w:p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2.1.3</w:t>
            </w:r>
          </w:p>
        </w:tc>
        <w:tc>
          <w:tcPr>
            <w:tcW w:w="8208" w:type="dxa"/>
            <w:shd w:val="clear" w:color="auto" w:fill="A3CAB8" w:themeFill="accent3" w:themeFillTint="99"/>
            <w:vAlign w:val="center"/>
          </w:tcPr>
          <w:p w:rsidR="00F42646" w:rsidRDefault="00F42646" w:rsidP="009216D1">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2.2.1</w:t>
            </w:r>
          </w:p>
        </w:tc>
        <w:tc>
          <w:tcPr>
            <w:tcW w:w="8208" w:type="dxa"/>
            <w:shd w:val="clear" w:color="auto" w:fill="A3CAB8" w:themeFill="accent3" w:themeFillTint="99"/>
            <w:vAlign w:val="center"/>
          </w:tcPr>
          <w:p w:rsidR="00F42646" w:rsidRDefault="00F42646" w:rsidP="009216D1">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2.2.2</w:t>
            </w:r>
          </w:p>
        </w:tc>
        <w:tc>
          <w:tcPr>
            <w:tcW w:w="8208" w:type="dxa"/>
            <w:shd w:val="clear" w:color="auto" w:fill="A3CAB8" w:themeFill="accent3" w:themeFillTint="99"/>
            <w:vAlign w:val="center"/>
          </w:tcPr>
          <w:p w:rsidR="00F42646" w:rsidRDefault="00F42646" w:rsidP="009216D1">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2.2.3</w:t>
            </w:r>
          </w:p>
        </w:tc>
        <w:tc>
          <w:tcPr>
            <w:tcW w:w="8208" w:type="dxa"/>
            <w:shd w:val="clear" w:color="auto" w:fill="A3CAB8" w:themeFill="accent3" w:themeFillTint="99"/>
            <w:vAlign w:val="center"/>
          </w:tcPr>
          <w:p w:rsidR="00F42646" w:rsidRDefault="00F42646" w:rsidP="009216D1">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2.2.4</w:t>
            </w:r>
          </w:p>
        </w:tc>
        <w:tc>
          <w:tcPr>
            <w:tcW w:w="8208" w:type="dxa"/>
            <w:shd w:val="clear" w:color="auto" w:fill="A3CAB8" w:themeFill="accent3" w:themeFillTint="99"/>
            <w:vAlign w:val="center"/>
          </w:tcPr>
          <w:p w:rsidR="00F42646" w:rsidRDefault="00F42646" w:rsidP="009216D1">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2.2.5</w:t>
            </w:r>
          </w:p>
        </w:tc>
        <w:tc>
          <w:tcPr>
            <w:tcW w:w="8208" w:type="dxa"/>
            <w:shd w:val="clear" w:color="auto" w:fill="A3CAB8" w:themeFill="accent3" w:themeFillTint="99"/>
            <w:vAlign w:val="center"/>
          </w:tcPr>
          <w:p w:rsidR="00F42646" w:rsidRDefault="00F42646" w:rsidP="009216D1">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2.2.6</w:t>
            </w:r>
          </w:p>
        </w:tc>
        <w:tc>
          <w:tcPr>
            <w:tcW w:w="8208" w:type="dxa"/>
            <w:shd w:val="clear" w:color="auto" w:fill="A3CAB8" w:themeFill="accent3" w:themeFillTint="99"/>
            <w:vAlign w:val="center"/>
          </w:tcPr>
          <w:p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2.2.7</w:t>
            </w:r>
          </w:p>
        </w:tc>
        <w:tc>
          <w:tcPr>
            <w:tcW w:w="8208" w:type="dxa"/>
            <w:shd w:val="clear" w:color="auto" w:fill="A3CAB8" w:themeFill="accent3" w:themeFillTint="99"/>
            <w:vAlign w:val="center"/>
          </w:tcPr>
          <w:p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2.2.8</w:t>
            </w:r>
          </w:p>
        </w:tc>
        <w:tc>
          <w:tcPr>
            <w:tcW w:w="8208" w:type="dxa"/>
            <w:shd w:val="clear" w:color="auto" w:fill="A3CAB8" w:themeFill="accent3" w:themeFillTint="99"/>
            <w:vAlign w:val="center"/>
          </w:tcPr>
          <w:p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2.2.9</w:t>
            </w:r>
          </w:p>
        </w:tc>
        <w:tc>
          <w:tcPr>
            <w:tcW w:w="8208" w:type="dxa"/>
            <w:shd w:val="clear" w:color="auto" w:fill="A3CAB8" w:themeFill="accent3" w:themeFillTint="99"/>
            <w:vAlign w:val="center"/>
          </w:tcPr>
          <w:p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2.3.1</w:t>
            </w:r>
          </w:p>
        </w:tc>
        <w:tc>
          <w:tcPr>
            <w:tcW w:w="8208" w:type="dxa"/>
            <w:shd w:val="clear" w:color="auto" w:fill="A3CAB8" w:themeFill="accent3" w:themeFillTint="99"/>
            <w:vAlign w:val="center"/>
          </w:tcPr>
          <w:p w:rsidR="00F42646" w:rsidRDefault="00F42646" w:rsidP="009216D1">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2.3.2</w:t>
            </w:r>
          </w:p>
        </w:tc>
        <w:tc>
          <w:tcPr>
            <w:tcW w:w="8208" w:type="dxa"/>
            <w:shd w:val="clear" w:color="auto" w:fill="A3CAB8" w:themeFill="accent3" w:themeFillTint="99"/>
            <w:vAlign w:val="center"/>
          </w:tcPr>
          <w:p w:rsidR="00F42646" w:rsidRDefault="00F42646" w:rsidP="009216D1">
            <w:pPr>
              <w:spacing w:line="240" w:lineRule="auto"/>
              <w:ind w:left="-18"/>
            </w:pPr>
            <w:r w:rsidRPr="00832B41">
              <w:rPr>
                <w:szCs w:val="18"/>
              </w:rPr>
              <w:t>Adequate training is provided for all personnel, including employees and contractors (CPET S6d).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2.3.3</w:t>
            </w:r>
          </w:p>
        </w:tc>
        <w:tc>
          <w:tcPr>
            <w:tcW w:w="8208" w:type="dxa"/>
            <w:shd w:val="clear" w:color="auto" w:fill="A3CAB8" w:themeFill="accent3" w:themeFillTint="99"/>
            <w:vAlign w:val="center"/>
          </w:tcPr>
          <w:p w:rsidR="00F42646" w:rsidRDefault="00F42646" w:rsidP="009216D1">
            <w:pPr>
              <w:spacing w:line="240" w:lineRule="auto"/>
              <w:ind w:left="-18"/>
            </w:pPr>
            <w:r w:rsidRPr="00832B41">
              <w:rPr>
                <w:szCs w:val="18"/>
              </w:rPr>
              <w:t>Analysis shows that feedstock harvesting and biomass production positively contribute to the local economy</w:t>
            </w:r>
            <w:r>
              <w:rPr>
                <w:szCs w:val="18"/>
              </w:rPr>
              <w:t>, including employment</w:t>
            </w:r>
            <w:r w:rsidRPr="00832B41">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2.4.1</w:t>
            </w:r>
          </w:p>
        </w:tc>
        <w:tc>
          <w:tcPr>
            <w:tcW w:w="8208" w:type="dxa"/>
            <w:shd w:val="clear" w:color="auto" w:fill="A3CAB8" w:themeFill="accent3" w:themeFillTint="99"/>
            <w:vAlign w:val="center"/>
          </w:tcPr>
          <w:p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vitality and other services provided by forest ecosystems are maintained or improved (CPET S7a).</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2.4.2</w:t>
            </w:r>
          </w:p>
        </w:tc>
        <w:tc>
          <w:tcPr>
            <w:tcW w:w="8208" w:type="dxa"/>
            <w:shd w:val="clear" w:color="auto" w:fill="A3CAB8" w:themeFill="accent3" w:themeFillTint="99"/>
            <w:vAlign w:val="center"/>
          </w:tcPr>
          <w:p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2.4.3</w:t>
            </w:r>
          </w:p>
        </w:tc>
        <w:tc>
          <w:tcPr>
            <w:tcW w:w="8208" w:type="dxa"/>
            <w:shd w:val="clear" w:color="auto" w:fill="A3CAB8" w:themeFill="accent3" w:themeFillTint="99"/>
            <w:vAlign w:val="center"/>
          </w:tcPr>
          <w:p w:rsidR="00F42646" w:rsidRDefault="00F42646" w:rsidP="009216D1">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control systems and procedures for verifying that there is adequate protection of the forest from unauthorised activities, such as illegal logging, mining and encroachment (CPETS7c).</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2.5.1</w:t>
            </w:r>
          </w:p>
        </w:tc>
        <w:tc>
          <w:tcPr>
            <w:tcW w:w="8208" w:type="dxa"/>
            <w:shd w:val="clear" w:color="auto" w:fill="A3CAB8" w:themeFill="accent3" w:themeFillTint="99"/>
            <w:vAlign w:val="center"/>
          </w:tcPr>
          <w:p w:rsidR="00F42646" w:rsidRDefault="00F42646" w:rsidP="009216D1">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customary and traditional tenure and use rights of indigenous people and local communities related to the forest are identified, documented and respected (CPET S9).</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2.5.2</w:t>
            </w:r>
          </w:p>
        </w:tc>
        <w:tc>
          <w:tcPr>
            <w:tcW w:w="8208" w:type="dxa"/>
            <w:shd w:val="clear" w:color="auto" w:fill="A3CAB8" w:themeFill="accent3" w:themeFillTint="99"/>
            <w:vAlign w:val="center"/>
          </w:tcPr>
          <w:p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2.6.1</w:t>
            </w:r>
          </w:p>
        </w:tc>
        <w:tc>
          <w:tcPr>
            <w:tcW w:w="8208" w:type="dxa"/>
            <w:shd w:val="clear" w:color="auto" w:fill="A3CAB8" w:themeFill="accent3" w:themeFillTint="99"/>
            <w:vAlign w:val="center"/>
          </w:tcPr>
          <w:p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2.7.1</w:t>
            </w:r>
          </w:p>
        </w:tc>
        <w:tc>
          <w:tcPr>
            <w:tcW w:w="8208" w:type="dxa"/>
            <w:shd w:val="clear" w:color="auto" w:fill="A3CAB8" w:themeFill="accent3" w:themeFillTint="99"/>
            <w:vAlign w:val="center"/>
          </w:tcPr>
          <w:p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2.7.2</w:t>
            </w:r>
          </w:p>
        </w:tc>
        <w:tc>
          <w:tcPr>
            <w:tcW w:w="8208" w:type="dxa"/>
            <w:shd w:val="clear" w:color="auto" w:fill="A3CAB8" w:themeFill="accent3" w:themeFillTint="99"/>
            <w:vAlign w:val="center"/>
          </w:tcPr>
          <w:p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2.7.3</w:t>
            </w:r>
          </w:p>
        </w:tc>
        <w:tc>
          <w:tcPr>
            <w:tcW w:w="8208" w:type="dxa"/>
            <w:shd w:val="clear" w:color="auto" w:fill="A3CAB8" w:themeFill="accent3" w:themeFillTint="99"/>
            <w:vAlign w:val="center"/>
          </w:tcPr>
          <w:p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2.7.4</w:t>
            </w:r>
          </w:p>
        </w:tc>
        <w:tc>
          <w:tcPr>
            <w:tcW w:w="8208" w:type="dxa"/>
            <w:shd w:val="clear" w:color="auto" w:fill="A3CAB8" w:themeFill="accent3" w:themeFillTint="99"/>
            <w:vAlign w:val="center"/>
          </w:tcPr>
          <w:p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2.7.5</w:t>
            </w:r>
          </w:p>
        </w:tc>
        <w:tc>
          <w:tcPr>
            <w:tcW w:w="8208" w:type="dxa"/>
            <w:shd w:val="clear" w:color="auto" w:fill="A3CAB8" w:themeFill="accent3" w:themeFillTint="99"/>
            <w:vAlign w:val="center"/>
          </w:tcPr>
          <w:p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2.8.1</w:t>
            </w:r>
          </w:p>
        </w:tc>
        <w:tc>
          <w:tcPr>
            <w:tcW w:w="8208" w:type="dxa"/>
            <w:shd w:val="clear" w:color="auto" w:fill="A3CAB8" w:themeFill="accent3" w:themeFillTint="99"/>
            <w:vAlign w:val="center"/>
          </w:tcPr>
          <w:p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2.9.1</w:t>
            </w:r>
          </w:p>
        </w:tc>
        <w:tc>
          <w:tcPr>
            <w:tcW w:w="8208" w:type="dxa"/>
            <w:shd w:val="clear" w:color="auto" w:fill="A3CAB8" w:themeFill="accent3" w:themeFillTint="99"/>
            <w:vAlign w:val="center"/>
          </w:tcPr>
          <w:p w:rsidR="00F42646" w:rsidRDefault="00F42646" w:rsidP="009216D1">
            <w:pPr>
              <w:spacing w:line="240" w:lineRule="auto"/>
              <w:ind w:left="-18"/>
            </w:pPr>
            <w:r w:rsidRPr="00C05D00">
              <w:rPr>
                <w:szCs w:val="18"/>
              </w:rPr>
              <w:t>Biomass is not sourced from areas that had high carbon stocks in January 2008 and no longer have those high carbon stocks.</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2.9.2</w:t>
            </w:r>
          </w:p>
        </w:tc>
        <w:tc>
          <w:tcPr>
            <w:tcW w:w="8208" w:type="dxa"/>
            <w:shd w:val="clear" w:color="auto" w:fill="A3CAB8" w:themeFill="accent3" w:themeFillTint="99"/>
            <w:vAlign w:val="center"/>
          </w:tcPr>
          <w:p w:rsidR="00F42646" w:rsidRDefault="00F42646" w:rsidP="009216D1">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rsidTr="009216D1">
        <w:trPr>
          <w:trHeight w:val="576"/>
        </w:trPr>
        <w:tc>
          <w:tcPr>
            <w:tcW w:w="136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p>
        </w:tc>
        <w:tc>
          <w:tcPr>
            <w:tcW w:w="8208" w:type="dxa"/>
            <w:shd w:val="clear" w:color="auto" w:fill="315644" w:themeFill="accent3" w:themeFillShade="80"/>
            <w:vAlign w:val="center"/>
          </w:tcPr>
          <w:p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rsidTr="009216D1">
        <w:trPr>
          <w:trHeight w:val="576"/>
        </w:trPr>
        <w:tc>
          <w:tcPr>
            <w:tcW w:w="1368" w:type="dxa"/>
            <w:shd w:val="clear" w:color="auto" w:fill="A3CAB8" w:themeFill="accent3" w:themeFillTint="99"/>
            <w:vAlign w:val="center"/>
          </w:tcPr>
          <w:p w:rsidR="00F42646" w:rsidRPr="00207AA0" w:rsidRDefault="00F42646" w:rsidP="009216D1">
            <w:pPr>
              <w:spacing w:line="240" w:lineRule="auto"/>
              <w:jc w:val="center"/>
              <w:rPr>
                <w:b/>
              </w:rPr>
            </w:pPr>
            <w:r>
              <w:rPr>
                <w:b/>
              </w:rPr>
              <w:t>2.10.1</w:t>
            </w:r>
          </w:p>
        </w:tc>
        <w:tc>
          <w:tcPr>
            <w:tcW w:w="8208" w:type="dxa"/>
            <w:shd w:val="clear" w:color="auto" w:fill="A3CAB8" w:themeFill="accent3" w:themeFillTint="99"/>
            <w:vAlign w:val="center"/>
          </w:tcPr>
          <w:p w:rsidR="00F42646" w:rsidRDefault="00F42646" w:rsidP="009216D1">
            <w:pPr>
              <w:spacing w:line="240" w:lineRule="auto"/>
              <w:ind w:left="-18"/>
            </w:pPr>
            <w:r w:rsidRPr="00C05D00">
              <w:rPr>
                <w:szCs w:val="18"/>
              </w:rPr>
              <w:t>Genetically modified trees are not used.</w:t>
            </w: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Finding</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Means of</w:t>
            </w:r>
          </w:p>
          <w:p w:rsidR="00F42646" w:rsidRDefault="00F42646" w:rsidP="009216D1">
            <w:pPr>
              <w:spacing w:line="240" w:lineRule="auto"/>
              <w:jc w:val="center"/>
            </w:pPr>
            <w:r>
              <w:t>Verification</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Default="00F42646" w:rsidP="009216D1">
            <w:pPr>
              <w:spacing w:line="240" w:lineRule="auto"/>
              <w:jc w:val="center"/>
            </w:pPr>
            <w:r>
              <w:t>Evidence</w:t>
            </w:r>
          </w:p>
          <w:p w:rsidR="00F42646" w:rsidRDefault="00F42646" w:rsidP="009216D1">
            <w:pPr>
              <w:spacing w:line="240" w:lineRule="auto"/>
              <w:jc w:val="center"/>
            </w:pPr>
            <w:r>
              <w:t>Reviewed</w:t>
            </w:r>
          </w:p>
        </w:tc>
        <w:tc>
          <w:tcPr>
            <w:tcW w:w="8208" w:type="dxa"/>
            <w:shd w:val="clear" w:color="auto" w:fill="auto"/>
          </w:tcPr>
          <w:p w:rsidR="00F42646" w:rsidRDefault="00F42646" w:rsidP="009216D1">
            <w:pPr>
              <w:tabs>
                <w:tab w:val="left" w:pos="372"/>
              </w:tabs>
              <w:spacing w:line="240" w:lineRule="auto"/>
              <w:ind w:left="702" w:hanging="702"/>
            </w:pP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Risk Rating</w:t>
            </w:r>
          </w:p>
        </w:tc>
        <w:tc>
          <w:tcPr>
            <w:tcW w:w="8208" w:type="dxa"/>
            <w:shd w:val="clear" w:color="auto" w:fill="auto"/>
            <w:vAlign w:val="center"/>
          </w:tcPr>
          <w:p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rsidTr="009216D1">
        <w:trPr>
          <w:trHeight w:val="576"/>
        </w:trPr>
        <w:tc>
          <w:tcPr>
            <w:tcW w:w="1368" w:type="dxa"/>
            <w:shd w:val="clear" w:color="auto" w:fill="A3CAB8" w:themeFill="accent3" w:themeFillTint="99"/>
            <w:vAlign w:val="center"/>
          </w:tcPr>
          <w:p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rsidR="00F42646" w:rsidRDefault="00F42646" w:rsidP="009216D1">
            <w:pPr>
              <w:spacing w:line="240" w:lineRule="auto"/>
              <w:jc w:val="center"/>
              <w:rPr>
                <w:b/>
              </w:rPr>
            </w:pPr>
          </w:p>
        </w:tc>
      </w:tr>
    </w:tbl>
    <w:p w:rsidR="00F42646" w:rsidRDefault="00F42646" w:rsidP="00F42646">
      <w:pPr>
        <w:rPr>
          <w:rFonts w:ascii="Calibri" w:eastAsia="Times New Roman" w:hAnsi="Calibri" w:cs="Times New Roman"/>
          <w:b/>
          <w:color w:val="76923C"/>
          <w:sz w:val="28"/>
          <w:szCs w:val="24"/>
        </w:rPr>
      </w:pPr>
    </w:p>
    <w:p w:rsidR="00F42646" w:rsidRDefault="00F42646" w:rsidP="00F42646">
      <w:pPr>
        <w:rPr>
          <w:rFonts w:ascii="Calibri" w:eastAsia="Times New Roman" w:hAnsi="Calibri" w:cs="Times New Roman"/>
          <w:b/>
          <w:color w:val="76923C"/>
          <w:sz w:val="28"/>
          <w:szCs w:val="24"/>
        </w:rPr>
      </w:pPr>
    </w:p>
    <w:p w:rsidR="00F42646" w:rsidRPr="00F42646" w:rsidRDefault="00F42646" w:rsidP="00F42646"/>
    <w:sectPr w:rsidR="00F42646" w:rsidRPr="00F42646" w:rsidSect="00ED692D">
      <w:headerReference w:type="even" r:id="rId14"/>
      <w:headerReference w:type="first" r:id="rId15"/>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88" w:rsidRDefault="00000C88" w:rsidP="004309B9">
      <w:r>
        <w:separator/>
      </w:r>
    </w:p>
  </w:endnote>
  <w:endnote w:type="continuationSeparator" w:id="0">
    <w:p w:rsidR="00000C88" w:rsidRDefault="00000C88"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Unicode MS"/>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DF" w:rsidRPr="0060397E" w:rsidRDefault="00EB5937" w:rsidP="004309B9">
    <w:pPr>
      <w:pStyle w:val="Footer"/>
    </w:pPr>
    <w:r>
      <w:t>SBP Framework S</w:t>
    </w:r>
    <w:r w:rsidR="00A96011">
      <w:t>upply Base Report T</w:t>
    </w:r>
    <w:r>
      <w:t>emplate for B</w:t>
    </w:r>
    <w:r w:rsidR="00A96011">
      <w:t>Ps</w:t>
    </w:r>
    <w:r w:rsidR="00F42646">
      <w:t xml:space="preserve"> Annex 1</w:t>
    </w:r>
    <w:r w:rsidR="00A96011">
      <w:tab/>
    </w:r>
    <w:r>
      <w:t xml:space="preserve"> </w:t>
    </w:r>
    <w:r>
      <w:tab/>
    </w:r>
    <w:r w:rsidR="002325DF" w:rsidRPr="0060397E">
      <w:t xml:space="preserve">Page </w:t>
    </w:r>
    <w:sdt>
      <w:sdtPr>
        <w:id w:val="-114067776"/>
        <w:docPartObj>
          <w:docPartGallery w:val="Page Numbers (Bottom of Page)"/>
          <w:docPartUnique/>
        </w:docPartObj>
      </w:sdtPr>
      <w:sdtEndPr/>
      <w:sdtContent>
        <w:r w:rsidR="002325DF">
          <w:fldChar w:fldCharType="begin"/>
        </w:r>
        <w:r w:rsidR="002325DF">
          <w:instrText xml:space="preserve"> PAGE   \* MERGEFORMAT </w:instrText>
        </w:r>
        <w:r w:rsidR="002325DF">
          <w:fldChar w:fldCharType="separate"/>
        </w:r>
        <w:r w:rsidR="003E7652">
          <w:rPr>
            <w:noProof/>
          </w:rPr>
          <w:t>11</w:t>
        </w:r>
        <w:r w:rsidR="002325D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DF" w:rsidRDefault="002325DF" w:rsidP="004309B9">
    <w:pPr>
      <w:pStyle w:val="Footer"/>
    </w:pPr>
    <w:r>
      <w:rPr>
        <w:noProof/>
        <w:lang w:eastAsia="en-GB"/>
      </w:rPr>
      <w:drawing>
        <wp:anchor distT="0" distB="0" distL="114300" distR="114300" simplePos="0" relativeHeight="251658240" behindDoc="0" locked="0" layoutInCell="1" allowOverlap="1" wp14:anchorId="2FA610B5" wp14:editId="10DBC207">
          <wp:simplePos x="0" y="0"/>
          <wp:positionH relativeFrom="page">
            <wp:posOffset>-71755</wp:posOffset>
          </wp:positionH>
          <wp:positionV relativeFrom="page">
            <wp:align>bottom</wp:align>
          </wp:positionV>
          <wp:extent cx="7648575" cy="1209675"/>
          <wp:effectExtent l="19050" t="0" r="9525" b="0"/>
          <wp:wrapNone/>
          <wp:docPr id="29" name="Picture 29"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eastAsia="en-GB"/>
      </w:rPr>
      <w:drawing>
        <wp:anchor distT="0" distB="0" distL="114300" distR="114300" simplePos="0" relativeHeight="251660288" behindDoc="0" locked="0" layoutInCell="1" allowOverlap="1" wp14:anchorId="59AF4AF4" wp14:editId="34DB4643">
          <wp:simplePos x="0" y="0"/>
          <wp:positionH relativeFrom="page">
            <wp:posOffset>-46990</wp:posOffset>
          </wp:positionH>
          <wp:positionV relativeFrom="page">
            <wp:posOffset>8809990</wp:posOffset>
          </wp:positionV>
          <wp:extent cx="7610475" cy="733425"/>
          <wp:effectExtent l="19050" t="0" r="9525" b="0"/>
          <wp:wrapNone/>
          <wp:docPr id="30"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88" w:rsidRDefault="00000C88" w:rsidP="004309B9">
      <w:r>
        <w:separator/>
      </w:r>
    </w:p>
  </w:footnote>
  <w:footnote w:type="continuationSeparator" w:id="0">
    <w:p w:rsidR="00000C88" w:rsidRDefault="00000C88"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DF" w:rsidRPr="008104ED" w:rsidRDefault="002325DF" w:rsidP="004309B9">
    <w:pPr>
      <w:pStyle w:val="Header"/>
      <w:rPr>
        <w:rFonts w:asciiTheme="majorHAnsi" w:hAnsiTheme="majorHAnsi"/>
        <w:color w:val="8AB059"/>
        <w:sz w:val="28"/>
        <w:szCs w:val="28"/>
      </w:rPr>
    </w:pPr>
    <w:r w:rsidRPr="008104ED">
      <w:rPr>
        <w:rFonts w:asciiTheme="majorHAnsi" w:hAnsiTheme="majorHAnsi"/>
        <w:noProof/>
        <w:color w:val="8AB059"/>
        <w:sz w:val="28"/>
        <w:szCs w:val="28"/>
        <w:lang w:eastAsia="en-GB"/>
      </w:rPr>
      <w:drawing>
        <wp:anchor distT="0" distB="0" distL="114300" distR="114300" simplePos="0" relativeHeight="251662336" behindDoc="0" locked="0" layoutInCell="1" allowOverlap="1" wp14:anchorId="7873B73F" wp14:editId="0A49DA42">
          <wp:simplePos x="0" y="0"/>
          <wp:positionH relativeFrom="page">
            <wp:posOffset>5553075</wp:posOffset>
          </wp:positionH>
          <wp:positionV relativeFrom="page">
            <wp:posOffset>323850</wp:posOffset>
          </wp:positionV>
          <wp:extent cx="1504950" cy="590550"/>
          <wp:effectExtent l="19050" t="0" r="0" b="0"/>
          <wp:wrapNone/>
          <wp:docPr id="26"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cstate="print"/>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sidRPr="008104ED">
      <w:rPr>
        <w:rFonts w:asciiTheme="majorHAnsi" w:hAnsiTheme="majorHAnsi"/>
        <w:noProof/>
        <w:color w:val="8AB059"/>
        <w:sz w:val="28"/>
        <w:szCs w:val="28"/>
        <w:lang w:eastAsia="en-GB"/>
      </w:rPr>
      <w:drawing>
        <wp:anchor distT="0" distB="0" distL="114300" distR="114300" simplePos="0" relativeHeight="251663360" behindDoc="0" locked="0" layoutInCell="1" allowOverlap="1" wp14:anchorId="4E46DEE2" wp14:editId="0FE153D4">
          <wp:simplePos x="0" y="0"/>
          <wp:positionH relativeFrom="page">
            <wp:posOffset>-518160</wp:posOffset>
          </wp:positionH>
          <wp:positionV relativeFrom="page">
            <wp:posOffset>-381635</wp:posOffset>
          </wp:positionV>
          <wp:extent cx="8543925" cy="819150"/>
          <wp:effectExtent l="19050" t="0" r="9525" b="0"/>
          <wp:wrapNone/>
          <wp:docPr id="27"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Pr>
        <w:rFonts w:asciiTheme="majorHAnsi" w:hAnsiTheme="majorHAnsi"/>
        <w:noProof/>
        <w:color w:val="8AB059"/>
        <w:sz w:val="28"/>
        <w:szCs w:val="28"/>
        <w:lang w:eastAsia="en-GB"/>
      </w:rPr>
      <mc:AlternateContent>
        <mc:Choice Requires="wps">
          <w:drawing>
            <wp:anchor distT="0" distB="0" distL="114300" distR="114300" simplePos="0" relativeHeight="251661312" behindDoc="1" locked="0" layoutInCell="1" allowOverlap="1" wp14:anchorId="5259A9AE" wp14:editId="54CF64DB">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DC29"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" fillcolor="#d9e9e2" stroked="f">
              <w10:wrap anchorx="page" anchory="page"/>
            </v:rect>
          </w:pict>
        </mc:Fallback>
      </mc:AlternateContent>
    </w:r>
    <w:r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5DF" w:rsidRDefault="002325DF" w:rsidP="004309B9">
    <w:pPr>
      <w:pStyle w:val="Header"/>
    </w:pPr>
    <w:r>
      <w:rPr>
        <w:noProof/>
        <w:lang w:eastAsia="en-GB"/>
      </w:rPr>
      <mc:AlternateContent>
        <mc:Choice Requires="wps">
          <w:drawing>
            <wp:anchor distT="0" distB="0" distL="114300" distR="114300" simplePos="0" relativeHeight="251657215" behindDoc="0" locked="0" layoutInCell="1" allowOverlap="1" wp14:anchorId="335D0DEF" wp14:editId="13EC64A4">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CF2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" fillcolor="#d9e9e2" stroked="f">
              <w10:wrap anchorx="page" anchory="page"/>
            </v:rect>
          </w:pict>
        </mc:Fallback>
      </mc:AlternateContent>
    </w:r>
    <w:r>
      <w:rPr>
        <w:noProof/>
        <w:lang w:eastAsia="en-GB"/>
      </w:rPr>
      <w:drawing>
        <wp:anchor distT="0" distB="0" distL="114300" distR="114300" simplePos="0" relativeHeight="251659264" behindDoc="0" locked="0" layoutInCell="1" allowOverlap="1" wp14:anchorId="6EDDA0BF" wp14:editId="476CAFEE">
          <wp:simplePos x="0" y="0"/>
          <wp:positionH relativeFrom="page">
            <wp:posOffset>4208780</wp:posOffset>
          </wp:positionH>
          <wp:positionV relativeFrom="page">
            <wp:posOffset>446405</wp:posOffset>
          </wp:positionV>
          <wp:extent cx="2857500" cy="1114425"/>
          <wp:effectExtent l="19050" t="0" r="0" b="0"/>
          <wp:wrapNone/>
          <wp:docPr id="28" name="Picture 28"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BC" w:rsidRDefault="00573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4BC" w:rsidRDefault="005734BC" w:rsidP="004309B9">
    <w:pPr>
      <w:pStyle w:val="Header"/>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Pr>
        <w:noProof/>
        <w:lang w:eastAsia="en-GB"/>
      </w:rPr>
      <w:drawing>
        <wp:anchor distT="0" distB="0" distL="114300" distR="114300" simplePos="0" relativeHeight="251666432" behindDoc="0" locked="0" layoutInCell="1" allowOverlap="1">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2"/>
  </w:num>
  <w:num w:numId="3">
    <w:abstractNumId w:val="28"/>
  </w:num>
  <w:num w:numId="4">
    <w:abstractNumId w:val="6"/>
  </w:num>
  <w:num w:numId="5">
    <w:abstractNumId w:val="5"/>
  </w:num>
  <w:num w:numId="6">
    <w:abstractNumId w:val="13"/>
  </w:num>
  <w:num w:numId="7">
    <w:abstractNumId w:val="20"/>
  </w:num>
  <w:num w:numId="8">
    <w:abstractNumId w:val="9"/>
  </w:num>
  <w:num w:numId="9">
    <w:abstractNumId w:val="17"/>
  </w:num>
  <w:num w:numId="10">
    <w:abstractNumId w:val="4"/>
  </w:num>
  <w:num w:numId="11">
    <w:abstractNumId w:val="21"/>
  </w:num>
  <w:num w:numId="12">
    <w:abstractNumId w:val="14"/>
  </w:num>
  <w:num w:numId="13">
    <w:abstractNumId w:val="27"/>
  </w:num>
  <w:num w:numId="14">
    <w:abstractNumId w:val="7"/>
  </w:num>
  <w:num w:numId="15">
    <w:abstractNumId w:val="25"/>
  </w:num>
  <w:num w:numId="16">
    <w:abstractNumId w:val="0"/>
  </w:num>
  <w:num w:numId="17">
    <w:abstractNumId w:val="11"/>
  </w:num>
  <w:num w:numId="18">
    <w:abstractNumId w:val="24"/>
  </w:num>
  <w:num w:numId="19">
    <w:abstractNumId w:val="15"/>
  </w:num>
  <w:num w:numId="20">
    <w:abstractNumId w:val="18"/>
  </w:num>
  <w:num w:numId="21">
    <w:abstractNumId w:val="26"/>
  </w:num>
  <w:num w:numId="22">
    <w:abstractNumId w:val="10"/>
  </w:num>
  <w:num w:numId="23">
    <w:abstractNumId w:val="19"/>
  </w:num>
  <w:num w:numId="24">
    <w:abstractNumId w:val="3"/>
  </w:num>
  <w:num w:numId="25">
    <w:abstractNumId w:val="16"/>
  </w:num>
  <w:num w:numId="26">
    <w:abstractNumId w:val="8"/>
  </w:num>
  <w:num w:numId="27">
    <w:abstractNumId w:val="1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9C"/>
    <w:rsid w:val="00000C88"/>
    <w:rsid w:val="0007597E"/>
    <w:rsid w:val="000D0359"/>
    <w:rsid w:val="000F1E79"/>
    <w:rsid w:val="001D71CC"/>
    <w:rsid w:val="002325DF"/>
    <w:rsid w:val="00247CD1"/>
    <w:rsid w:val="00301241"/>
    <w:rsid w:val="0035637E"/>
    <w:rsid w:val="00360FA4"/>
    <w:rsid w:val="003A3AF6"/>
    <w:rsid w:val="003E7652"/>
    <w:rsid w:val="004309B9"/>
    <w:rsid w:val="00477B62"/>
    <w:rsid w:val="005734BC"/>
    <w:rsid w:val="005B0A2B"/>
    <w:rsid w:val="005D488C"/>
    <w:rsid w:val="0060397E"/>
    <w:rsid w:val="0072722D"/>
    <w:rsid w:val="00772BEF"/>
    <w:rsid w:val="00781DCB"/>
    <w:rsid w:val="007A4175"/>
    <w:rsid w:val="007A56C4"/>
    <w:rsid w:val="007B4310"/>
    <w:rsid w:val="007C5EAE"/>
    <w:rsid w:val="008104ED"/>
    <w:rsid w:val="00813162"/>
    <w:rsid w:val="0081780F"/>
    <w:rsid w:val="0083069A"/>
    <w:rsid w:val="00836D4B"/>
    <w:rsid w:val="00863474"/>
    <w:rsid w:val="008E0555"/>
    <w:rsid w:val="00912623"/>
    <w:rsid w:val="00931123"/>
    <w:rsid w:val="00966FE2"/>
    <w:rsid w:val="009813C7"/>
    <w:rsid w:val="009876E0"/>
    <w:rsid w:val="00A96011"/>
    <w:rsid w:val="00AC3979"/>
    <w:rsid w:val="00B012AF"/>
    <w:rsid w:val="00B165D0"/>
    <w:rsid w:val="00B42DC1"/>
    <w:rsid w:val="00B508B3"/>
    <w:rsid w:val="00B76534"/>
    <w:rsid w:val="00B94D3B"/>
    <w:rsid w:val="00C032AA"/>
    <w:rsid w:val="00C604DF"/>
    <w:rsid w:val="00DF065C"/>
    <w:rsid w:val="00E851C5"/>
    <w:rsid w:val="00EA2109"/>
    <w:rsid w:val="00EA2790"/>
    <w:rsid w:val="00EB5937"/>
    <w:rsid w:val="00ED692D"/>
    <w:rsid w:val="00F04032"/>
    <w:rsid w:val="00F42646"/>
    <w:rsid w:val="00F45D4A"/>
    <w:rsid w:val="00F5639C"/>
    <w:rsid w:val="00FC7363"/>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22CC0-83E1-42B7-B433-406D341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paragraph" w:customStyle="1" w:styleId="SAHeading">
    <w:name w:val="SA_Heading"/>
    <w:basedOn w:val="Normal"/>
    <w:rsid w:val="00F42646"/>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F42646"/>
    <w:pPr>
      <w:numPr>
        <w:numId w:val="1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F42646"/>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biomasspartnershi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tainablebiomasspartnership.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9C40-0A1C-4836-A826-1F79AA30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0</TotalTime>
  <Pages>22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Simon Armstrong</cp:lastModifiedBy>
  <cp:revision>2</cp:revision>
  <dcterms:created xsi:type="dcterms:W3CDTF">2017-08-18T14:07:00Z</dcterms:created>
  <dcterms:modified xsi:type="dcterms:W3CDTF">2017-08-18T14:07:00Z</dcterms:modified>
</cp:coreProperties>
</file>